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20960C">
      <w:pPr>
        <w:widowControl/>
        <w:kinsoku w:val="0"/>
        <w:autoSpaceDE w:val="0"/>
        <w:autoSpaceDN w:val="0"/>
        <w:adjustRightInd w:val="0"/>
        <w:snapToGrid w:val="0"/>
        <w:spacing w:before="357" w:line="224" w:lineRule="auto"/>
        <w:jc w:val="center"/>
        <w:textAlignment w:val="baseline"/>
        <w:outlineLvl w:val="0"/>
        <w:rPr>
          <w:rFonts w:hint="eastAsia" w:ascii="Calibri" w:hAnsi="Calibri" w:eastAsia="Calibri" w:cs="Calibri"/>
          <w:b/>
          <w:bCs/>
          <w:snapToGrid w:val="0"/>
          <w:color w:val="000000"/>
          <w:kern w:val="0"/>
          <w:sz w:val="43"/>
          <w:szCs w:val="43"/>
          <w:lang w:eastAsia="en-US"/>
        </w:rPr>
      </w:pPr>
      <w:r>
        <w:rPr>
          <w:rFonts w:hint="eastAsia" w:ascii="Calibri" w:hAnsi="Calibri" w:eastAsia="Calibri" w:cs="Calibri"/>
          <w:b/>
          <w:bCs/>
          <w:snapToGrid w:val="0"/>
          <w:color w:val="000000"/>
          <w:kern w:val="0"/>
          <w:sz w:val="43"/>
          <w:szCs w:val="43"/>
          <w:lang w:eastAsia="en-US"/>
        </w:rPr>
        <w:t>Red Base KD(DB-40)</w:t>
      </w:r>
    </w:p>
    <w:p w14:paraId="35EF2212">
      <w:pPr>
        <w:widowControl/>
        <w:kinsoku w:val="0"/>
        <w:autoSpaceDE w:val="0"/>
        <w:autoSpaceDN w:val="0"/>
        <w:adjustRightInd w:val="0"/>
        <w:snapToGrid w:val="0"/>
        <w:spacing w:before="357" w:line="224" w:lineRule="auto"/>
        <w:jc w:val="both"/>
        <w:textAlignment w:val="baseline"/>
        <w:outlineLvl w:val="0"/>
        <w:rPr>
          <w:sz w:val="32"/>
          <w:szCs w:val="32"/>
        </w:rPr>
      </w:pPr>
      <w:r>
        <w:rPr>
          <w:b/>
          <w:bCs/>
          <w:spacing w:val="-12"/>
          <w:sz w:val="32"/>
          <w:szCs w:val="32"/>
        </w:rPr>
        <w:t>1.Product</w:t>
      </w:r>
      <w:r>
        <w:rPr>
          <w:b/>
          <w:bCs/>
          <w:spacing w:val="13"/>
          <w:sz w:val="32"/>
          <w:szCs w:val="32"/>
        </w:rPr>
        <w:t xml:space="preserve"> </w:t>
      </w:r>
      <w:r>
        <w:rPr>
          <w:b/>
          <w:bCs/>
          <w:spacing w:val="-12"/>
          <w:sz w:val="32"/>
          <w:szCs w:val="32"/>
        </w:rPr>
        <w:t>information:</w:t>
      </w:r>
    </w:p>
    <w:p w14:paraId="1C7D1316">
      <w:pPr>
        <w:spacing w:line="229" w:lineRule="exact"/>
      </w:pPr>
    </w:p>
    <w:tbl>
      <w:tblPr>
        <w:tblStyle w:val="8"/>
        <w:tblpPr w:leftFromText="180" w:rightFromText="180" w:vertAnchor="text" w:horzAnchor="page" w:tblpX="1022" w:tblpY="264"/>
        <w:tblOverlap w:val="never"/>
        <w:tblW w:w="96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82"/>
        <w:gridCol w:w="6818"/>
      </w:tblGrid>
      <w:tr w14:paraId="388A01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" w:hRule="atLeast"/>
        </w:trPr>
        <w:tc>
          <w:tcPr>
            <w:tcW w:w="2782" w:type="dxa"/>
            <w:vAlign w:val="top"/>
          </w:tcPr>
          <w:p w14:paraId="391200FB">
            <w:pPr>
              <w:pStyle w:val="7"/>
              <w:spacing w:before="93" w:line="184" w:lineRule="auto"/>
              <w:ind w:left="3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Appearance</w:t>
            </w:r>
          </w:p>
        </w:tc>
        <w:tc>
          <w:tcPr>
            <w:tcW w:w="6818" w:type="dxa"/>
            <w:vAlign w:val="top"/>
          </w:tcPr>
          <w:p w14:paraId="3202660F">
            <w:pPr>
              <w:pStyle w:val="7"/>
              <w:spacing w:before="91" w:line="225" w:lineRule="auto"/>
              <w:ind w:left="8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Powder</w:t>
            </w:r>
          </w:p>
        </w:tc>
      </w:tr>
      <w:tr w14:paraId="15BD08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" w:hRule="atLeast"/>
        </w:trPr>
        <w:tc>
          <w:tcPr>
            <w:tcW w:w="2782" w:type="dxa"/>
            <w:vAlign w:val="top"/>
          </w:tcPr>
          <w:p w14:paraId="64DF3CDB">
            <w:pPr>
              <w:pStyle w:val="7"/>
              <w:spacing w:before="87" w:line="224" w:lineRule="auto"/>
              <w:ind w:left="3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3"/>
                <w:sz w:val="24"/>
                <w:szCs w:val="24"/>
              </w:rPr>
              <w:t>Color</w:t>
            </w:r>
          </w:p>
        </w:tc>
        <w:tc>
          <w:tcPr>
            <w:tcW w:w="6818" w:type="dxa"/>
            <w:vAlign w:val="top"/>
          </w:tcPr>
          <w:p w14:paraId="331E7390">
            <w:pPr>
              <w:pStyle w:val="7"/>
              <w:spacing w:before="63" w:line="214" w:lineRule="auto"/>
              <w:ind w:left="8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White</w:t>
            </w:r>
            <w:r>
              <w:rPr>
                <w:rFonts w:hint="default" w:ascii="Times New Roman" w:hAnsi="Times New Roman" w:cs="Times New Roman"/>
                <w:spacing w:val="7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(slightly</w:t>
            </w:r>
            <w:r>
              <w:rPr>
                <w:rFonts w:hint="default" w:ascii="Times New Roman" w:hAnsi="Times New Roman" w:cs="Times New Roman"/>
                <w:spacing w:val="3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yellow)</w:t>
            </w:r>
          </w:p>
        </w:tc>
      </w:tr>
      <w:tr w14:paraId="7B0BD6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8" w:hRule="atLeast"/>
        </w:trPr>
        <w:tc>
          <w:tcPr>
            <w:tcW w:w="2782" w:type="dxa"/>
            <w:vAlign w:val="top"/>
          </w:tcPr>
          <w:p w14:paraId="038CAD1D">
            <w:pPr>
              <w:pStyle w:val="7"/>
              <w:spacing w:before="99" w:line="222" w:lineRule="auto"/>
              <w:ind w:left="3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Odor</w:t>
            </w:r>
          </w:p>
        </w:tc>
        <w:tc>
          <w:tcPr>
            <w:tcW w:w="6818" w:type="dxa"/>
            <w:vAlign w:val="top"/>
          </w:tcPr>
          <w:p w14:paraId="40C1650A">
            <w:pPr>
              <w:pStyle w:val="7"/>
              <w:spacing w:before="131" w:line="182" w:lineRule="auto"/>
              <w:ind w:left="8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None</w:t>
            </w:r>
          </w:p>
        </w:tc>
      </w:tr>
      <w:tr w14:paraId="6C44E2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2782" w:type="dxa"/>
            <w:vAlign w:val="top"/>
          </w:tcPr>
          <w:p w14:paraId="47A15180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End</w:t>
            </w:r>
            <w:r>
              <w:rPr>
                <w:rFonts w:hint="default" w:ascii="Times New Roman" w:hAnsi="Times New Roman" w:cs="Times New Roman"/>
                <w:spacing w:val="4"/>
                <w:sz w:val="24"/>
                <w:szCs w:val="24"/>
              </w:rPr>
              <w:t xml:space="preserve">    </w:t>
            </w: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Uses</w:t>
            </w:r>
          </w:p>
        </w:tc>
        <w:tc>
          <w:tcPr>
            <w:tcW w:w="6818" w:type="dxa"/>
            <w:vAlign w:val="top"/>
          </w:tcPr>
          <w:p w14:paraId="71600231">
            <w:pPr>
              <w:pStyle w:val="7"/>
              <w:spacing w:before="77" w:line="214" w:lineRule="auto"/>
              <w:ind w:left="8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mainly used for t he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 xml:space="preserve"> printing</w:t>
            </w:r>
            <w:r>
              <w:rPr>
                <w:rFonts w:hint="default"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of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cotton,artificial</w:t>
            </w:r>
            <w:r>
              <w:rPr>
                <w:rFonts w:hint="default" w:ascii="Times New Roman" w:hAnsi="Times New Roman" w:cs="Times New Roman"/>
                <w:spacing w:val="11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cotton</w:t>
            </w:r>
            <w:r>
              <w:rPr>
                <w:rFonts w:hint="default"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1"/>
                <w:sz w:val="24"/>
                <w:szCs w:val="24"/>
              </w:rPr>
              <w:t>and hemp</w:t>
            </w:r>
          </w:p>
          <w:p w14:paraId="36721FA5">
            <w:pPr>
              <w:pStyle w:val="7"/>
              <w:spacing w:before="109" w:line="249" w:lineRule="auto"/>
              <w:ind w:left="83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fibers,dyeing and manufacturing of</w:t>
            </w:r>
            <w:r>
              <w:rPr>
                <w:rFonts w:hint="eastAsia" w:ascii="Times New Roman" w:hAnsi="Times New Roman" w:cs="Times New Roman"/>
                <w:spacing w:val="-3"/>
                <w:sz w:val="24"/>
                <w:szCs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  <w:t>organic pigments,the tint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>ing of</w:t>
            </w:r>
            <w:r>
              <w:rPr>
                <w:rFonts w:hint="default" w:ascii="Times New Roman" w:hAnsi="Times New Roman" w:cs="Times New Roman"/>
                <w:spacing w:val="17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4"/>
                <w:sz w:val="24"/>
                <w:szCs w:val="24"/>
              </w:rPr>
              <w:t>ink and</w:t>
            </w: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texitle</w:t>
            </w:r>
            <w:r>
              <w:rPr>
                <w:rFonts w:hint="default"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printing</w:t>
            </w:r>
            <w:r>
              <w:rPr>
                <w:rFonts w:hint="default" w:ascii="Times New Roman" w:hAnsi="Times New Roman" w:cs="Times New Roman"/>
                <w:spacing w:val="43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2"/>
                <w:sz w:val="24"/>
                <w:szCs w:val="24"/>
              </w:rPr>
              <w:t>paste.</w:t>
            </w:r>
          </w:p>
        </w:tc>
      </w:tr>
      <w:tr w14:paraId="2483A2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2782" w:type="dxa"/>
            <w:vAlign w:val="top"/>
          </w:tcPr>
          <w:p w14:paraId="0EE677B1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Density</w:t>
            </w:r>
          </w:p>
        </w:tc>
        <w:tc>
          <w:tcPr>
            <w:tcW w:w="6818" w:type="dxa"/>
            <w:vAlign w:val="top"/>
          </w:tcPr>
          <w:p w14:paraId="66B3C576">
            <w:pPr>
              <w:pStyle w:val="7"/>
              <w:spacing w:before="109" w:line="249" w:lineRule="auto"/>
              <w:ind w:left="83"/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3"/>
                <w:sz w:val="28"/>
                <w:szCs w:val="28"/>
              </w:rPr>
              <w:t>7.5</w:t>
            </w:r>
            <w:r>
              <w:rPr>
                <w:rFonts w:hint="default" w:ascii="Times New Roman" w:hAnsi="Times New Roman" w:cs="Times New Roman"/>
                <w:spacing w:val="37"/>
                <w:sz w:val="28"/>
                <w:szCs w:val="28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-3"/>
                <w:sz w:val="28"/>
                <w:szCs w:val="28"/>
              </w:rPr>
              <w:t>g/cm3</w:t>
            </w:r>
          </w:p>
        </w:tc>
      </w:tr>
      <w:tr w14:paraId="6994D8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782" w:type="dxa"/>
            <w:vAlign w:val="top"/>
          </w:tcPr>
          <w:p w14:paraId="348A5EB0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pH</w:t>
            </w:r>
          </w:p>
        </w:tc>
        <w:tc>
          <w:tcPr>
            <w:tcW w:w="6818" w:type="dxa"/>
            <w:vAlign w:val="top"/>
          </w:tcPr>
          <w:p w14:paraId="5EC098D9">
            <w:pPr>
              <w:pStyle w:val="7"/>
              <w:spacing w:before="109" w:line="249" w:lineRule="auto"/>
              <w:ind w:left="83"/>
              <w:rPr>
                <w:rFonts w:hint="default" w:ascii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</w:rPr>
              <w:t>4.0-8.0</w:t>
            </w:r>
          </w:p>
        </w:tc>
      </w:tr>
      <w:tr w14:paraId="6C2ACC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782" w:type="dxa"/>
            <w:vAlign w:val="top"/>
          </w:tcPr>
          <w:p w14:paraId="249041DA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Initial meling Point(dry)</w:t>
            </w:r>
          </w:p>
        </w:tc>
        <w:tc>
          <w:tcPr>
            <w:tcW w:w="6818" w:type="dxa"/>
            <w:vAlign w:val="top"/>
          </w:tcPr>
          <w:p w14:paraId="68D76E06">
            <w:pPr>
              <w:pStyle w:val="7"/>
              <w:spacing w:before="109" w:line="249" w:lineRule="auto"/>
              <w:ind w:left="83"/>
              <w:rPr>
                <w:rFonts w:hint="default" w:ascii="Times New Roman" w:hAnsi="Times New Roman" w:cs="Times New Roman"/>
                <w:spacing w:val="-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lang w:val="en-US" w:eastAsia="zh-CN"/>
              </w:rPr>
              <w:t>≥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</w:rPr>
              <w:t>15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</w:rPr>
              <w:t>.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  <w:lang w:val="en-US" w:eastAsia="zh-CN"/>
              </w:rPr>
              <w:t>°</w:t>
            </w: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</w:rPr>
              <w:t>C</w:t>
            </w:r>
          </w:p>
        </w:tc>
      </w:tr>
      <w:tr w14:paraId="0849F5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782" w:type="dxa"/>
            <w:vAlign w:val="top"/>
          </w:tcPr>
          <w:p w14:paraId="006F0A97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Insoluble substance</w:t>
            </w:r>
          </w:p>
        </w:tc>
        <w:tc>
          <w:tcPr>
            <w:tcW w:w="6818" w:type="dxa"/>
            <w:vAlign w:val="top"/>
          </w:tcPr>
          <w:p w14:paraId="2F226FE6">
            <w:pPr>
              <w:pStyle w:val="7"/>
              <w:spacing w:before="109" w:line="249" w:lineRule="auto"/>
              <w:ind w:left="83"/>
              <w:rPr>
                <w:rFonts w:hint="default" w:ascii="Times New Roman" w:hAnsi="Times New Roman" w:cs="Times New Roman"/>
                <w:spacing w:val="-2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spacing w:val="-2"/>
                <w:sz w:val="28"/>
                <w:szCs w:val="28"/>
              </w:rPr>
              <w:t>0.03%</w:t>
            </w:r>
          </w:p>
        </w:tc>
      </w:tr>
    </w:tbl>
    <w:p w14:paraId="4E99A512">
      <w:pPr>
        <w:pStyle w:val="2"/>
        <w:spacing w:line="318" w:lineRule="auto"/>
        <w:rPr>
          <w:sz w:val="21"/>
        </w:rPr>
      </w:pPr>
    </w:p>
    <w:p w14:paraId="2BC1BF28">
      <w:pPr>
        <w:widowControl/>
        <w:kinsoku w:val="0"/>
        <w:autoSpaceDE w:val="0"/>
        <w:autoSpaceDN w:val="0"/>
        <w:adjustRightInd w:val="0"/>
        <w:snapToGrid w:val="0"/>
        <w:spacing w:before="357" w:line="224" w:lineRule="auto"/>
        <w:jc w:val="both"/>
        <w:textAlignment w:val="baseline"/>
        <w:outlineLvl w:val="0"/>
        <w:rPr>
          <w:b/>
          <w:bCs/>
          <w:spacing w:val="-12"/>
          <w:sz w:val="32"/>
          <w:szCs w:val="32"/>
        </w:rPr>
      </w:pPr>
      <w:r>
        <w:rPr>
          <w:b/>
          <w:bCs/>
          <w:spacing w:val="-12"/>
          <w:sz w:val="32"/>
          <w:szCs w:val="32"/>
        </w:rPr>
        <w:t>2.Introduction:</w:t>
      </w:r>
    </w:p>
    <w:p w14:paraId="2FA35887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" w:line="317" w:lineRule="auto"/>
        <w:ind w:left="765" w:right="0" w:rightChars="0" w:hanging="607"/>
        <w:jc w:val="both"/>
        <w:textAlignment w:val="auto"/>
        <w:rPr>
          <w:rFonts w:hint="default" w:ascii="Palatino Linotype" w:hAnsi="Palatino Linotype" w:cs="Palatino Linotype"/>
          <w:sz w:val="21"/>
          <w:szCs w:val="21"/>
        </w:rPr>
      </w:pPr>
      <w:r>
        <w:rPr>
          <w:rFonts w:hint="default" w:ascii="Palatino Linotype" w:hAnsi="Palatino Linotype" w:cs="Palatino Linotype"/>
          <w:sz w:val="21"/>
          <w:szCs w:val="21"/>
        </w:rPr>
        <w:t>These</w:t>
      </w:r>
      <w:r>
        <w:rPr>
          <w:rFonts w:hint="default" w:ascii="Palatino Linotype" w:hAnsi="Palatino Linotype" w:cs="Palatino Linotype"/>
          <w:spacing w:val="17"/>
          <w:sz w:val="21"/>
          <w:szCs w:val="21"/>
        </w:rPr>
        <w:t xml:space="preserve"> </w:t>
      </w:r>
      <w:r>
        <w:rPr>
          <w:rFonts w:hint="default" w:ascii="Palatino Linotype" w:hAnsi="Palatino Linotype" w:cs="Palatino Linotype"/>
          <w:sz w:val="21"/>
          <w:szCs w:val="21"/>
        </w:rPr>
        <w:t>materials comply withthe following guidelin</w:t>
      </w:r>
      <w:r>
        <w:rPr>
          <w:rFonts w:hint="default" w:ascii="Palatino Linotype" w:hAnsi="Palatino Linotype" w:cs="Palatino Linotype"/>
          <w:spacing w:val="-1"/>
          <w:sz w:val="21"/>
          <w:szCs w:val="21"/>
        </w:rPr>
        <w:t>es:</w:t>
      </w:r>
      <w:r>
        <w:rPr>
          <w:rFonts w:hint="default" w:ascii="Palatino Linotype" w:hAnsi="Palatino Linotype" w:cs="Palatino Linotype"/>
          <w:sz w:val="21"/>
          <w:szCs w:val="21"/>
        </w:rPr>
        <w:t xml:space="preserve"> </w:t>
      </w:r>
      <w:r>
        <w:rPr>
          <w:rFonts w:hint="default" w:ascii="Palatino Linotype" w:hAnsi="Palatino Linotype" w:cs="Palatino Linotype"/>
          <w:spacing w:val="-2"/>
          <w:sz w:val="21"/>
          <w:szCs w:val="21"/>
        </w:rPr>
        <w:t>GB/T</w:t>
      </w:r>
      <w:r>
        <w:rPr>
          <w:rFonts w:hint="default" w:ascii="Palatino Linotype" w:hAnsi="Palatino Linotype" w:cs="Palatino Linotype"/>
          <w:spacing w:val="35"/>
          <w:w w:val="101"/>
          <w:sz w:val="21"/>
          <w:szCs w:val="21"/>
        </w:rPr>
        <w:t xml:space="preserve"> </w:t>
      </w:r>
      <w:r>
        <w:rPr>
          <w:rFonts w:hint="default" w:ascii="Palatino Linotype" w:hAnsi="Palatino Linotype" w:cs="Palatino Linotype"/>
          <w:spacing w:val="-2"/>
          <w:sz w:val="21"/>
          <w:szCs w:val="21"/>
        </w:rPr>
        <w:t>24102-2009</w:t>
      </w:r>
    </w:p>
    <w:tbl>
      <w:tblPr>
        <w:tblStyle w:val="8"/>
        <w:tblpPr w:leftFromText="180" w:rightFromText="180" w:vertAnchor="text" w:horzAnchor="page" w:tblpX="1052" w:tblpY="276"/>
        <w:tblOverlap w:val="never"/>
        <w:tblW w:w="96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2"/>
        <w:gridCol w:w="6978"/>
      </w:tblGrid>
      <w:tr w14:paraId="2994F3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652" w:type="dxa"/>
            <w:vAlign w:val="top"/>
          </w:tcPr>
          <w:p w14:paraId="0587527A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Composition</w:t>
            </w:r>
          </w:p>
        </w:tc>
        <w:tc>
          <w:tcPr>
            <w:tcW w:w="6978" w:type="dxa"/>
            <w:vAlign w:val="top"/>
          </w:tcPr>
          <w:p w14:paraId="0E3A4782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pacing w:val="-4"/>
                <w:sz w:val="24"/>
                <w:szCs w:val="24"/>
              </w:rPr>
              <w:t>amino-4-methoxybenzoyltianiline prepared from3-nitro-4-methoxybenzoic acid through aniline conde nsation,≥99%</w:t>
            </w:r>
          </w:p>
        </w:tc>
      </w:tr>
      <w:tr w14:paraId="62EA5C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652" w:type="dxa"/>
            <w:vAlign w:val="top"/>
          </w:tcPr>
          <w:p w14:paraId="7E804213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Type of material</w:t>
            </w:r>
          </w:p>
        </w:tc>
        <w:tc>
          <w:tcPr>
            <w:tcW w:w="6978" w:type="dxa"/>
            <w:vAlign w:val="top"/>
          </w:tcPr>
          <w:p w14:paraId="0EB25300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pacing w:val="-4"/>
                <w:sz w:val="24"/>
                <w:szCs w:val="24"/>
              </w:rPr>
              <w:t>Powder</w:t>
            </w:r>
          </w:p>
        </w:tc>
      </w:tr>
      <w:tr w14:paraId="709E3E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652" w:type="dxa"/>
            <w:vAlign w:val="top"/>
          </w:tcPr>
          <w:p w14:paraId="7AA99997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Available colors</w:t>
            </w:r>
          </w:p>
        </w:tc>
        <w:tc>
          <w:tcPr>
            <w:tcW w:w="6978" w:type="dxa"/>
            <w:vAlign w:val="top"/>
          </w:tcPr>
          <w:p w14:paraId="0A47A8F1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 w:val="0"/>
                <w:bCs w:val="0"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pacing w:val="-4"/>
                <w:sz w:val="24"/>
                <w:szCs w:val="24"/>
              </w:rPr>
              <w:t>White(slightly yellow)</w:t>
            </w:r>
          </w:p>
        </w:tc>
      </w:tr>
      <w:tr w14:paraId="131CF8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" w:hRule="atLeast"/>
        </w:trPr>
        <w:tc>
          <w:tcPr>
            <w:tcW w:w="2652" w:type="dxa"/>
            <w:vAlign w:val="top"/>
          </w:tcPr>
          <w:p w14:paraId="3973F930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Existence mode of form</w:t>
            </w:r>
          </w:p>
        </w:tc>
        <w:tc>
          <w:tcPr>
            <w:tcW w:w="6978" w:type="dxa"/>
            <w:vAlign w:val="top"/>
          </w:tcPr>
          <w:p w14:paraId="1C874F0E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 w:val="0"/>
                <w:bCs w:val="0"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pacing w:val="-4"/>
                <w:sz w:val="24"/>
                <w:szCs w:val="24"/>
              </w:rPr>
              <w:t>Powder</w:t>
            </w:r>
          </w:p>
        </w:tc>
      </w:tr>
      <w:tr w14:paraId="188874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652" w:type="dxa"/>
            <w:vAlign w:val="top"/>
          </w:tcPr>
          <w:p w14:paraId="3BA07B05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Classification</w:t>
            </w:r>
          </w:p>
        </w:tc>
        <w:tc>
          <w:tcPr>
            <w:tcW w:w="6978" w:type="dxa"/>
            <w:vAlign w:val="top"/>
          </w:tcPr>
          <w:p w14:paraId="3E67A7C7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 w:val="0"/>
                <w:bCs w:val="0"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pacing w:val="-4"/>
                <w:sz w:val="24"/>
                <w:szCs w:val="24"/>
              </w:rPr>
              <w:t>Not available</w:t>
            </w:r>
          </w:p>
        </w:tc>
      </w:tr>
      <w:tr w14:paraId="42C88A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2" w:hRule="atLeast"/>
        </w:trPr>
        <w:tc>
          <w:tcPr>
            <w:tcW w:w="2652" w:type="dxa"/>
            <w:vAlign w:val="top"/>
          </w:tcPr>
          <w:p w14:paraId="77917CD7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</w:p>
          <w:p w14:paraId="5A2D9659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spacing w:val="-4"/>
                <w:sz w:val="24"/>
                <w:szCs w:val="24"/>
              </w:rPr>
              <w:t>Description</w:t>
            </w:r>
          </w:p>
        </w:tc>
        <w:tc>
          <w:tcPr>
            <w:tcW w:w="6978" w:type="dxa"/>
            <w:vAlign w:val="top"/>
          </w:tcPr>
          <w:p w14:paraId="5D420582">
            <w:pPr>
              <w:pStyle w:val="7"/>
              <w:spacing w:before="114" w:line="188" w:lineRule="auto"/>
              <w:ind w:left="37"/>
              <w:rPr>
                <w:rFonts w:hint="default" w:ascii="Times New Roman" w:hAnsi="Times New Roman" w:cs="Times New Roman"/>
                <w:b w:val="0"/>
                <w:bCs w:val="0"/>
                <w:spacing w:val="-4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pacing w:val="-4"/>
                <w:sz w:val="24"/>
                <w:szCs w:val="24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b w:val="0"/>
                <w:bCs w:val="0"/>
                <w:spacing w:val="-4"/>
                <w:sz w:val="24"/>
                <w:szCs w:val="24"/>
              </w:rPr>
              <w:t>ainly used for the printing of cotton,artificial cotton and hemp fibers,dyeing and manufacturing of organic pigments,the tinting of ink and texitle printing paste</w:t>
            </w:r>
          </w:p>
        </w:tc>
      </w:tr>
    </w:tbl>
    <w:p w14:paraId="43C26466">
      <w:pPr>
        <w:spacing w:before="57"/>
      </w:pPr>
    </w:p>
    <w:p w14:paraId="35FFBCE9">
      <w:pPr>
        <w:pStyle w:val="2"/>
        <w:jc w:val="left"/>
        <w:rPr>
          <w:sz w:val="21"/>
        </w:rPr>
      </w:pPr>
    </w:p>
    <w:p w14:paraId="4FDBCDE0">
      <w:pPr>
        <w:widowControl/>
        <w:kinsoku w:val="0"/>
        <w:autoSpaceDE w:val="0"/>
        <w:autoSpaceDN w:val="0"/>
        <w:adjustRightInd w:val="0"/>
        <w:snapToGrid w:val="0"/>
        <w:spacing w:before="357" w:line="224" w:lineRule="auto"/>
        <w:jc w:val="both"/>
        <w:textAlignment w:val="baseline"/>
        <w:outlineLvl w:val="0"/>
        <w:rPr>
          <w:rFonts w:hint="eastAsia"/>
          <w:b/>
          <w:bCs/>
          <w:spacing w:val="-12"/>
          <w:sz w:val="32"/>
          <w:szCs w:val="32"/>
          <w:lang w:val="en-US" w:eastAsia="zh-CN"/>
        </w:rPr>
      </w:pPr>
      <w:r>
        <w:rPr>
          <w:rFonts w:hint="eastAsia"/>
          <w:b/>
          <w:bCs/>
          <w:spacing w:val="-12"/>
          <w:sz w:val="32"/>
          <w:szCs w:val="32"/>
          <w:lang w:val="en-US" w:eastAsia="zh-CN"/>
        </w:rPr>
        <w:t>3.Storage condition:</w:t>
      </w:r>
    </w:p>
    <w:p w14:paraId="3A5C4EF2">
      <w:pPr>
        <w:pStyle w:val="7"/>
        <w:spacing w:before="114" w:line="188" w:lineRule="auto"/>
        <w:ind w:left="37"/>
        <w:rPr>
          <w:rFonts w:hint="eastAsia" w:ascii="Times New Roman" w:hAnsi="Times New Roman" w:cs="Times New Roman"/>
          <w:b w:val="0"/>
          <w:bCs w:val="0"/>
          <w:spacing w:val="-4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pacing w:val="-4"/>
          <w:sz w:val="24"/>
          <w:szCs w:val="24"/>
          <w:lang w:val="en-US" w:eastAsia="zh-CN"/>
        </w:rPr>
        <w:t>Store in a dry,ventilated,cool,clean warehouse.No hazardous gases, flammable or explosive materials or corrosive chemicals are allowed in the warehouse.</w:t>
      </w:r>
    </w:p>
    <w:p w14:paraId="4A5610B6">
      <w:pPr>
        <w:pStyle w:val="7"/>
        <w:spacing w:before="114" w:line="188" w:lineRule="auto"/>
        <w:ind w:left="37"/>
        <w:rPr>
          <w:rFonts w:hint="eastAsia" w:ascii="Times New Roman" w:hAnsi="Times New Roman" w:cs="Times New Roman"/>
          <w:b w:val="0"/>
          <w:bCs w:val="0"/>
          <w:spacing w:val="-4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pacing w:val="-4"/>
          <w:sz w:val="24"/>
          <w:szCs w:val="24"/>
          <w:lang w:val="en-US" w:eastAsia="zh-CN"/>
        </w:rPr>
        <w:t xml:space="preserve">Temperature:18-33℃ </w:t>
      </w:r>
    </w:p>
    <w:p w14:paraId="2A9C68ED">
      <w:pPr>
        <w:pStyle w:val="7"/>
        <w:spacing w:before="114" w:line="188" w:lineRule="auto"/>
        <w:ind w:left="37"/>
        <w:rPr>
          <w:rFonts w:hint="eastAsia" w:ascii="Times New Roman" w:hAnsi="Times New Roman" w:cs="Times New Roman"/>
          <w:b w:val="0"/>
          <w:bCs w:val="0"/>
          <w:spacing w:val="-4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pacing w:val="-4"/>
          <w:sz w:val="24"/>
          <w:szCs w:val="24"/>
          <w:lang w:val="en-US" w:eastAsia="zh-CN"/>
        </w:rPr>
        <w:t>Relative humidity:45%</w:t>
      </w:r>
    </w:p>
    <w:p w14:paraId="4CF40F1C">
      <w:pPr>
        <w:pStyle w:val="2"/>
        <w:widowControl/>
        <w:kinsoku w:val="0"/>
        <w:autoSpaceDE w:val="0"/>
        <w:autoSpaceDN w:val="0"/>
        <w:adjustRightInd w:val="0"/>
        <w:snapToGrid w:val="0"/>
        <w:spacing w:before="148" w:line="328" w:lineRule="auto"/>
        <w:ind w:left="112" w:right="484" w:hanging="4"/>
        <w:jc w:val="left"/>
        <w:textAlignment w:val="baseline"/>
        <w:rPr>
          <w:rFonts w:hint="eastAsia" w:ascii="Microsoft JhengHei" w:hAnsi="Microsoft JhengHei" w:eastAsia="Microsoft JhengHei" w:cs="Microsoft JhengHei"/>
          <w:snapToGrid w:val="0"/>
          <w:color w:val="000000"/>
          <w:kern w:val="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2D7E8C">
    <w:pPr>
      <w:pStyle w:val="3"/>
    </w:pPr>
    <w:r>
      <w:rPr>
        <w:rFonts w:ascii="Segoe UI" w:hAnsi="Segoe UI" w:eastAsia="Segoe UI" w:cs="Segoe UI"/>
        <w:i w:val="0"/>
        <w:iCs w:val="0"/>
        <w:caps w:val="0"/>
        <w:color w:val="05073B"/>
        <w:spacing w:val="0"/>
        <w:sz w:val="22"/>
        <w:szCs w:val="22"/>
      </w:rPr>
      <w:t>Headquarters Address: No. 8, Floor 4, No. 1-41 Chunyangguan Street, Jinjiang District, Chengdu City</w:t>
    </w:r>
    <w:r>
      <w:rPr>
        <w:rFonts w:hint="eastAsia" w:ascii="Segoe UI" w:hAnsi="Segoe UI" w:eastAsia="宋体" w:cs="Segoe UI"/>
        <w:i w:val="0"/>
        <w:iCs w:val="0"/>
        <w:caps w:val="0"/>
        <w:color w:val="05073B"/>
        <w:spacing w:val="0"/>
        <w:sz w:val="22"/>
        <w:szCs w:val="22"/>
        <w:lang w:val="en-US" w:eastAsia="zh-CN"/>
      </w:rPr>
      <w:t xml:space="preserve">                               </w:t>
    </w:r>
    <w:r>
      <w:rPr>
        <w:rFonts w:hint="default" w:ascii="Segoe UI" w:hAnsi="Segoe UI" w:eastAsia="Segoe UI" w:cs="Segoe UI"/>
        <w:i w:val="0"/>
        <w:iCs w:val="0"/>
        <w:caps w:val="0"/>
        <w:color w:val="05073B"/>
        <w:spacing w:val="0"/>
        <w:sz w:val="22"/>
        <w:szCs w:val="22"/>
      </w:rPr>
      <w:t>Technical Service Tel.: 18010683253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03728B">
    <w:pPr>
      <w:spacing w:before="37" w:line="195" w:lineRule="auto"/>
      <w:ind w:left="53"/>
      <w:rPr>
        <w:rFonts w:ascii="华文楷体" w:hAnsi="华文楷体" w:eastAsia="华文楷体" w:cs="华文楷体"/>
        <w:sz w:val="20"/>
        <w:szCs w:val="20"/>
      </w:rPr>
    </w:pPr>
    <w:r>
      <w:rPr>
        <w:rFonts w:ascii="华文楷体" w:hAnsi="华文楷体" w:eastAsia="华文楷体" w:cs="华文楷体"/>
        <w:b/>
        <w:bCs/>
        <w:color w:val="0070C0"/>
        <w:spacing w:val="-5"/>
        <w:sz w:val="20"/>
        <w:szCs w:val="20"/>
      </w:rPr>
      <w:t>四川和氏璧科技有限公司</w:t>
    </w:r>
  </w:p>
  <w:p w14:paraId="20B0C886">
    <w:pPr>
      <w:spacing w:before="17" w:line="183" w:lineRule="auto"/>
      <w:ind w:left="38"/>
    </w:pPr>
    <w:r>
      <w:rPr>
        <w:rFonts w:ascii="华文楷体" w:hAnsi="华文楷体" w:eastAsia="华文楷体" w:cs="华文楷体"/>
        <w:b/>
        <w:bCs/>
        <w:color w:val="0070C0"/>
        <w:spacing w:val="-2"/>
        <w:sz w:val="20"/>
        <w:szCs w:val="20"/>
      </w:rPr>
      <w:t>Si</w:t>
    </w:r>
    <w:r>
      <w:rPr>
        <w:rFonts w:hint="eastAsia" w:ascii="华文楷体" w:hAnsi="华文楷体" w:eastAsia="华文楷体" w:cs="华文楷体"/>
        <w:b/>
        <w:bCs/>
        <w:color w:val="0070C0"/>
        <w:spacing w:val="-2"/>
        <w:sz w:val="20"/>
        <w:szCs w:val="20"/>
        <w:lang w:val="en-US" w:eastAsia="zh-CN"/>
      </w:rPr>
      <w:t>c</w:t>
    </w:r>
    <w:r>
      <w:rPr>
        <w:rFonts w:ascii="华文楷体" w:hAnsi="华文楷体" w:eastAsia="华文楷体" w:cs="华文楷体"/>
        <w:b/>
        <w:bCs/>
        <w:color w:val="0070C0"/>
        <w:spacing w:val="-2"/>
        <w:sz w:val="20"/>
        <w:szCs w:val="20"/>
      </w:rPr>
      <w:t>huan</w:t>
    </w:r>
    <w:r>
      <w:rPr>
        <w:rFonts w:ascii="华文楷体" w:hAnsi="华文楷体" w:eastAsia="华文楷体" w:cs="华文楷体"/>
        <w:color w:val="0070C0"/>
        <w:spacing w:val="-2"/>
        <w:sz w:val="20"/>
        <w:szCs w:val="20"/>
      </w:rPr>
      <w:t xml:space="preserve"> </w:t>
    </w:r>
    <w:r>
      <w:rPr>
        <w:rFonts w:ascii="华文楷体" w:hAnsi="华文楷体" w:eastAsia="华文楷体" w:cs="华文楷体"/>
        <w:b/>
        <w:bCs/>
        <w:color w:val="0070C0"/>
        <w:spacing w:val="-2"/>
        <w:sz w:val="20"/>
        <w:szCs w:val="20"/>
      </w:rPr>
      <w:t>Hersbit</w:t>
    </w:r>
    <w:r>
      <w:rPr>
        <w:rFonts w:ascii="华文楷体" w:hAnsi="华文楷体" w:eastAsia="华文楷体" w:cs="华文楷体"/>
        <w:color w:val="0070C0"/>
        <w:spacing w:val="-2"/>
        <w:sz w:val="20"/>
        <w:szCs w:val="20"/>
      </w:rPr>
      <w:t xml:space="preserve"> </w:t>
    </w:r>
    <w:r>
      <w:rPr>
        <w:rFonts w:ascii="华文楷体" w:hAnsi="华文楷体" w:eastAsia="华文楷体" w:cs="华文楷体"/>
        <w:b/>
        <w:bCs/>
        <w:color w:val="0070C0"/>
        <w:spacing w:val="-2"/>
        <w:sz w:val="20"/>
        <w:szCs w:val="20"/>
      </w:rPr>
      <w:t>Scientific</w:t>
    </w:r>
    <w:r>
      <w:rPr>
        <w:rFonts w:ascii="华文楷体" w:hAnsi="华文楷体" w:eastAsia="华文楷体" w:cs="华文楷体"/>
        <w:color w:val="0070C0"/>
        <w:spacing w:val="-2"/>
        <w:sz w:val="20"/>
        <w:szCs w:val="20"/>
      </w:rPr>
      <w:t xml:space="preserve"> </w:t>
    </w:r>
    <w:r>
      <w:rPr>
        <w:rFonts w:ascii="华文楷体" w:hAnsi="华文楷体" w:eastAsia="华文楷体" w:cs="华文楷体"/>
        <w:b/>
        <w:bCs/>
        <w:color w:val="0070C0"/>
        <w:spacing w:val="-2"/>
        <w:sz w:val="20"/>
        <w:szCs w:val="20"/>
      </w:rPr>
      <w:t>And</w:t>
    </w:r>
    <w:r>
      <w:rPr>
        <w:rFonts w:ascii="华文楷体" w:hAnsi="华文楷体" w:eastAsia="华文楷体" w:cs="华文楷体"/>
        <w:color w:val="0070C0"/>
        <w:spacing w:val="-2"/>
        <w:sz w:val="20"/>
        <w:szCs w:val="20"/>
      </w:rPr>
      <w:t xml:space="preserve"> </w:t>
    </w:r>
    <w:r>
      <w:rPr>
        <w:rFonts w:ascii="华文楷体" w:hAnsi="华文楷体" w:eastAsia="华文楷体" w:cs="华文楷体"/>
        <w:b/>
        <w:bCs/>
        <w:color w:val="0070C0"/>
        <w:spacing w:val="-2"/>
        <w:sz w:val="20"/>
        <w:szCs w:val="20"/>
      </w:rPr>
      <w:t>Technical</w:t>
    </w:r>
    <w:r>
      <w:rPr>
        <w:rFonts w:ascii="华文楷体" w:hAnsi="华文楷体" w:eastAsia="华文楷体" w:cs="华文楷体"/>
        <w:color w:val="0070C0"/>
        <w:spacing w:val="-2"/>
        <w:sz w:val="20"/>
        <w:szCs w:val="20"/>
      </w:rPr>
      <w:t xml:space="preserve"> </w:t>
    </w:r>
    <w:r>
      <w:rPr>
        <w:rFonts w:ascii="华文楷体" w:hAnsi="华文楷体" w:eastAsia="华文楷体" w:cs="华文楷体"/>
        <w:b/>
        <w:bCs/>
        <w:color w:val="0070C0"/>
        <w:spacing w:val="-2"/>
        <w:sz w:val="20"/>
        <w:szCs w:val="20"/>
      </w:rPr>
      <w:t>Co.</w:t>
    </w:r>
    <w:r>
      <w:rPr>
        <w:rFonts w:ascii="华文楷体" w:hAnsi="华文楷体" w:eastAsia="华文楷体" w:cs="华文楷体"/>
        <w:b/>
        <w:bCs/>
        <w:color w:val="0070C0"/>
        <w:spacing w:val="-3"/>
        <w:sz w:val="20"/>
        <w:szCs w:val="20"/>
      </w:rPr>
      <w:t>LTD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6A1E01"/>
    <w:rsid w:val="3CDA1438"/>
    <w:rsid w:val="6F18500B"/>
    <w:rsid w:val="7A1C6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148</Words>
  <Characters>966</Characters>
  <Lines>0</Lines>
  <Paragraphs>0</Paragraphs>
  <TotalTime>121</TotalTime>
  <ScaleCrop>false</ScaleCrop>
  <LinksUpToDate>false</LinksUpToDate>
  <CharactersWithSpaces>1066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2025-01-13T08:16:00Z</dcterms:created>
  <dc:creator>Administrator</dc:creator>
  <cp:lastModifiedBy>微信用户</cp:lastModifiedBy>
  <dcterms:modified xsi:type="dcterms:W3CDTF">2025-09-12T08:37:07Z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eyJoZGlkIjoiMDcwOGQ4Mzg2ZDc4NmRmNjhmNTFlOWE2ZmM5NzEyMDIiLCJ1c2VySWQiOiIxMjQ3NzcyODk4In0=</vt:lpwstr>
  </property>
  <property fmtid="{D5CDD505-2E9C-101B-9397-08002B2CF9AE}" pid="4" name="ICV">
    <vt:lpwstr>7BA29DEC9CD248DFAC02F46887D84A70_13</vt:lpwstr>
  </property>
</Properties>
</file>